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5280" w:firstLineChars="220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污水水质监测技术要求</w:t>
      </w:r>
    </w:p>
    <w:tbl>
      <w:tblPr>
        <w:tblStyle w:val="5"/>
        <w:tblW w:w="14974" w:type="dxa"/>
        <w:tblInd w:w="-490" w:type="dxa"/>
        <w:tblBorders>
          <w:top w:val="single" w:color="169AD4" w:sz="4" w:space="0"/>
          <w:left w:val="single" w:color="169AD4" w:sz="4" w:space="0"/>
          <w:bottom w:val="single" w:color="169AD4" w:sz="4" w:space="0"/>
          <w:right w:val="single" w:color="169AD4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680"/>
        <w:gridCol w:w="613"/>
        <w:gridCol w:w="640"/>
        <w:gridCol w:w="830"/>
        <w:gridCol w:w="917"/>
        <w:gridCol w:w="947"/>
        <w:gridCol w:w="986"/>
        <w:gridCol w:w="707"/>
        <w:gridCol w:w="1093"/>
        <w:gridCol w:w="1774"/>
        <w:gridCol w:w="1226"/>
        <w:gridCol w:w="2494"/>
        <w:gridCol w:w="1360"/>
      </w:tblGrid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bookmarkStart w:id="0" w:name="3.商务要求"/>
            <w:bookmarkEnd w:id="0"/>
            <w:bookmarkStart w:id="1" w:name="_bookmark43"/>
            <w:bookmarkEnd w:id="1"/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污染源类别</w:t>
            </w:r>
          </w:p>
        </w:tc>
        <w:tc>
          <w:tcPr>
            <w:tcW w:w="22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排放口编号</w:t>
            </w:r>
          </w:p>
        </w:tc>
        <w:tc>
          <w:tcPr>
            <w:tcW w:w="20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排放口名称</w:t>
            </w:r>
          </w:p>
        </w:tc>
        <w:tc>
          <w:tcPr>
            <w:tcW w:w="21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监测内容</w:t>
            </w: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污染物名称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监测设施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自动监测是否联网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自动监测仪器名称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自动监测设施安装位置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自动监测设施是否符合安装、运行、维护等管理要求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手工监测采样方法及个数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手工监测频次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手工测定方法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其他信息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废水</w:t>
            </w:r>
          </w:p>
        </w:tc>
        <w:tc>
          <w:tcPr>
            <w:tcW w:w="227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DW001</w:t>
            </w:r>
          </w:p>
        </w:tc>
        <w:tc>
          <w:tcPr>
            <w:tcW w:w="204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综合废水排放口</w:t>
            </w:r>
          </w:p>
        </w:tc>
        <w:tc>
          <w:tcPr>
            <w:tcW w:w="213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流量,水温 </w:t>
            </w: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pH值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  </w:t>
            </w: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1次/12小时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pH值的测定 玻璃电极法 GB 6920-1986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色度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间接排放不监测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悬浮物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1次/周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悬浮物的测定 重量法 GB 11901-1989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五日生化需氧量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五日生化需氧量（BOD5）的测定 稀释与接种法 HJ505-2009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化学需氧量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1次/周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化学需氧量的测定 重铬酸盐法 HJ 828-2017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阴离子表面活性剂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阴离子表面活性剂的测定 流动注射-亚甲基蓝分光光度法(HJ 826-2017)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氨氮（NH3-N）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间接排放不监测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石油类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lang w:val="en-US" w:eastAsia="zh-CN" w:bidi="ar"/>
              </w:rPr>
              <w:object>
                <v:shape id="_x0000_i1025" o:spt="201" alt="" type="#_x0000_t201" style="height:18pt;width:10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2" w:shapeid="_x0000_i1025"/>
              </w:objec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石油类和动植物油的测定 红外光度法 GB/T 16488-1996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动植物油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石油类和动植物油类的测定 红外分光光度法HJ 637-2012代替GB/T 16488-1996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挥发酚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挥发酚的测定 4-氨基安替比林分光光度法 HJ 503-2009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总氰化物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1次/季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水质 氰化物的测定 容量法和分光光度法（HJ 484—2009 ）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总余氯（以Cl计）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间接排放不监测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粪大肠菌群数/（MPN/L）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混合采样 至少3个混合样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1次/月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多管发酵法（GB 5750-85）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肠道致病菌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间接排放不监测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肠道病毒</w:t>
            </w:r>
          </w:p>
        </w:tc>
        <w:tc>
          <w:tcPr>
            <w:tcW w:w="3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手工 </w:t>
            </w:r>
          </w:p>
        </w:tc>
        <w:tc>
          <w:tcPr>
            <w:tcW w:w="31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2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0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8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 </w:t>
            </w:r>
          </w:p>
        </w:tc>
        <w:tc>
          <w:tcPr>
            <w:tcW w:w="45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间接排放不监测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5040" w:firstLineChars="1800"/>
        <w:jc w:val="left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其他自行监测及记录信息</w:t>
      </w:r>
    </w:p>
    <w:tbl>
      <w:tblPr>
        <w:tblStyle w:val="5"/>
        <w:tblpPr w:leftFromText="180" w:rightFromText="180" w:vertAnchor="text" w:horzAnchor="page" w:tblpX="1036" w:tblpY="367"/>
        <w:tblOverlap w:val="never"/>
        <w:tblW w:w="14849" w:type="dxa"/>
        <w:tblInd w:w="0" w:type="dxa"/>
        <w:tblBorders>
          <w:top w:val="single" w:color="169AD4" w:sz="4" w:space="0"/>
          <w:left w:val="single" w:color="169AD4" w:sz="4" w:space="0"/>
          <w:bottom w:val="single" w:color="169AD4" w:sz="4" w:space="0"/>
          <w:right w:val="single" w:color="169AD4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693"/>
        <w:gridCol w:w="614"/>
        <w:gridCol w:w="680"/>
        <w:gridCol w:w="800"/>
        <w:gridCol w:w="893"/>
        <w:gridCol w:w="1013"/>
        <w:gridCol w:w="987"/>
        <w:gridCol w:w="722"/>
        <w:gridCol w:w="1091"/>
        <w:gridCol w:w="1707"/>
        <w:gridCol w:w="1213"/>
        <w:gridCol w:w="2520"/>
        <w:gridCol w:w="1334"/>
      </w:tblGrid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污染源类别</w:t>
            </w:r>
          </w:p>
        </w:tc>
        <w:tc>
          <w:tcPr>
            <w:tcW w:w="23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06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2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监测内容</w:t>
            </w: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污染物名称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监测设施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自动监测是否联网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自动监测仪器名称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自动监测设施安装位置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自动监测设施是否符合安装、运行、维护等管理要求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手工监测采样方法及个数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手工监测频次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手工测试方法</w:t>
            </w:r>
          </w:p>
        </w:tc>
        <w:tc>
          <w:tcPr>
            <w:tcW w:w="44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5F3F4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其他信息</w:t>
            </w: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废气</w:t>
            </w:r>
          </w:p>
        </w:tc>
        <w:tc>
          <w:tcPr>
            <w:tcW w:w="233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污水处理站周界</w:t>
            </w:r>
          </w:p>
        </w:tc>
        <w:tc>
          <w:tcPr>
            <w:tcW w:w="206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温度,湿度,气压,风速,风向 </w:t>
            </w: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甲烷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手工 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非连续采样 至少3个 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1次/季 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环境空气 总烃、甲烷和非甲烷总烃的测定 直接进样-气相色谱法（HJ 604-2017） </w:t>
            </w:r>
          </w:p>
        </w:tc>
        <w:tc>
          <w:tcPr>
            <w:tcW w:w="44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臭气浓度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手工 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非连续采样 至少3个 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1次/季 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空气质量 恶臭的测定 三点比较式臭袋法 GB T 14675-1993 </w:t>
            </w:r>
          </w:p>
        </w:tc>
        <w:tc>
          <w:tcPr>
            <w:tcW w:w="44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氨（氨气）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手工 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非连续采样 至少3个 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1次/季 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空气和废气 氨的测定 纳氏试剂分光光度法 HJ 533-2009 </w:t>
            </w:r>
          </w:p>
        </w:tc>
        <w:tc>
          <w:tcPr>
            <w:tcW w:w="44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氯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both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手工 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Arial" w:hAnsi="Arial" w:eastAsia="宋体" w:cs="Arial"/>
                <w:vanish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    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非连续采样 至少3个 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1次/季 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环境空气 氯气等有毒有害气体的应急监测 电化学传感器法(HJ 872—2017) </w:t>
            </w:r>
          </w:p>
        </w:tc>
        <w:tc>
          <w:tcPr>
            <w:tcW w:w="44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169AD4" w:sz="4" w:space="0"/>
            <w:left w:val="single" w:color="169AD4" w:sz="4" w:space="0"/>
            <w:bottom w:val="single" w:color="169AD4" w:sz="4" w:space="0"/>
            <w:right w:val="single" w:color="169AD4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硫化氢</w:t>
            </w:r>
          </w:p>
        </w:tc>
        <w:tc>
          <w:tcPr>
            <w:tcW w:w="300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 xml:space="preserve">   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手工 </w:t>
            </w:r>
          </w:p>
        </w:tc>
        <w:tc>
          <w:tcPr>
            <w:tcW w:w="341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 xml:space="preserve">     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32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43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67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 xml:space="preserve">     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74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非连续采样 至少3个 </w:t>
            </w:r>
          </w:p>
        </w:tc>
        <w:tc>
          <w:tcPr>
            <w:tcW w:w="40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1次/季 </w:t>
            </w:r>
          </w:p>
        </w:tc>
        <w:tc>
          <w:tcPr>
            <w:tcW w:w="848" w:type="pct"/>
            <w:tcBorders>
              <w:top w:val="single" w:color="D0D0D0" w:sz="4" w:space="0"/>
              <w:left w:val="single" w:color="D0D0D0" w:sz="4" w:space="0"/>
              <w:bottom w:val="single" w:color="D0D0D0" w:sz="4" w:space="0"/>
              <w:right w:val="single" w:color="D0D0D0" w:sz="4" w:space="0"/>
            </w:tcBorders>
            <w:shd w:val="clear" w:color="auto" w:fill="FFFFFF"/>
            <w:noWrap w:val="0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空气质量 硫化氢 甲硫醇 甲硫醚 二甲二硫的测定气相色谱法 GB/T14678-1993 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要求：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1）其中值、悬浮物和化学需氧量可否每月一测。需和相关环保部门协商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；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default" w:ascii="宋体" w:hAnsi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2）成果文件：检测完成后在规定的时间内提交正式有效的检测报告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-SA"/>
        </w:rPr>
        <w:t xml:space="preserve">； 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default" w:ascii="宋体" w:hAnsi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 w:bidi="ar-SA"/>
        </w:rPr>
        <w:t>3）检测内容如有遗漏以医疗机构排污许可证为准。</w:t>
      </w:r>
    </w:p>
    <w:p>
      <w:pPr>
        <w:spacing w:line="360" w:lineRule="auto"/>
        <w:ind w:left="0" w:leftChars="0" w:firstLine="0" w:firstLineChars="0"/>
        <w:contextualSpacing/>
        <w:rPr>
          <w:rFonts w:hint="eastAsia"/>
          <w:b/>
          <w:color w:val="000000"/>
          <w:sz w:val="28"/>
          <w:szCs w:val="28"/>
          <w:lang w:val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DQ5M2RmZTkwYWJlMjBlMmE3YzMwNGI4ZWQxZTgifQ=="/>
  </w:docVars>
  <w:rsids>
    <w:rsidRoot w:val="7003528B"/>
    <w:rsid w:val="19425270"/>
    <w:rsid w:val="56465081"/>
    <w:rsid w:val="700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1238</Characters>
  <Lines>0</Lines>
  <Paragraphs>0</Paragraphs>
  <TotalTime>18</TotalTime>
  <ScaleCrop>false</ScaleCrop>
  <LinksUpToDate>false</LinksUpToDate>
  <CharactersWithSpaces>1492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2021-02-05T01:16:00Z</dcterms:created>
  <dc:creator>恬芯逍菰艿</dc:creator>
  <cp:lastModifiedBy>小五爹</cp:lastModifiedBy>
  <cp:lastPrinted>2021-02-23T01:24:00Z</cp:lastPrinted>
  <dcterms:modified xsi:type="dcterms:W3CDTF">2022-05-05T07:42:56Z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F7B995213A344168AA9B0BE119DF85ED</vt:lpwstr>
  </property>
</Properties>
</file>